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EF9" w:rsidRPr="00764EF9" w:rsidRDefault="00764EF9" w:rsidP="00764EF9">
      <w:pPr>
        <w:autoSpaceDE w:val="0"/>
        <w:autoSpaceDN w:val="0"/>
        <w:adjustRightInd w:val="0"/>
        <w:spacing w:after="0" w:line="240" w:lineRule="auto"/>
        <w:jc w:val="both"/>
        <w:rPr>
          <w:rFonts w:ascii="Arial" w:hAnsi="Arial" w:cs="Arial"/>
          <w:color w:val="231F20"/>
          <w:sz w:val="24"/>
          <w:szCs w:val="24"/>
        </w:rPr>
      </w:pPr>
      <w:r w:rsidRPr="00764EF9">
        <w:rPr>
          <w:rFonts w:ascii="Arial" w:hAnsi="Arial" w:cs="Arial"/>
          <w:color w:val="231F20"/>
          <w:sz w:val="24"/>
          <w:szCs w:val="24"/>
        </w:rPr>
        <w:t>In section 44AE of the Income-tax Act, with effect from the 1st day of April, 2015,––</w:t>
      </w:r>
    </w:p>
    <w:p w:rsidR="00764EF9" w:rsidRDefault="00764EF9" w:rsidP="00764EF9">
      <w:pPr>
        <w:autoSpaceDE w:val="0"/>
        <w:autoSpaceDN w:val="0"/>
        <w:adjustRightInd w:val="0"/>
        <w:spacing w:after="0" w:line="240" w:lineRule="auto"/>
        <w:jc w:val="both"/>
        <w:rPr>
          <w:rFonts w:ascii="Arial" w:hAnsi="Arial" w:cs="Arial"/>
          <w:color w:val="231F20"/>
          <w:sz w:val="24"/>
          <w:szCs w:val="24"/>
        </w:rPr>
      </w:pPr>
    </w:p>
    <w:p w:rsidR="00764EF9" w:rsidRPr="00764EF9" w:rsidRDefault="00764EF9" w:rsidP="00764EF9">
      <w:pPr>
        <w:autoSpaceDE w:val="0"/>
        <w:autoSpaceDN w:val="0"/>
        <w:adjustRightInd w:val="0"/>
        <w:spacing w:after="0" w:line="240" w:lineRule="auto"/>
        <w:jc w:val="both"/>
        <w:rPr>
          <w:rFonts w:ascii="Arial" w:hAnsi="Arial" w:cs="Arial"/>
          <w:color w:val="231F20"/>
          <w:sz w:val="24"/>
          <w:szCs w:val="24"/>
        </w:rPr>
      </w:pPr>
      <w:r w:rsidRPr="00764EF9">
        <w:rPr>
          <w:rFonts w:ascii="Arial" w:hAnsi="Arial" w:cs="Arial"/>
          <w:color w:val="231F20"/>
          <w:sz w:val="24"/>
          <w:szCs w:val="24"/>
        </w:rPr>
        <w:t>(</w:t>
      </w:r>
      <w:proofErr w:type="spellStart"/>
      <w:r w:rsidRPr="00764EF9">
        <w:rPr>
          <w:rFonts w:ascii="Arial" w:hAnsi="Arial" w:cs="Arial"/>
          <w:i/>
          <w:iCs/>
          <w:color w:val="231F20"/>
          <w:sz w:val="24"/>
          <w:szCs w:val="24"/>
        </w:rPr>
        <w:t>i</w:t>
      </w:r>
      <w:proofErr w:type="spellEnd"/>
      <w:r w:rsidRPr="00764EF9">
        <w:rPr>
          <w:rFonts w:ascii="Arial" w:hAnsi="Arial" w:cs="Arial"/>
          <w:color w:val="231F20"/>
          <w:sz w:val="24"/>
          <w:szCs w:val="24"/>
        </w:rPr>
        <w:t xml:space="preserve">) </w:t>
      </w:r>
      <w:proofErr w:type="gramStart"/>
      <w:r w:rsidRPr="00764EF9">
        <w:rPr>
          <w:rFonts w:ascii="Arial" w:hAnsi="Arial" w:cs="Arial"/>
          <w:color w:val="231F20"/>
          <w:sz w:val="24"/>
          <w:szCs w:val="24"/>
        </w:rPr>
        <w:t>for</w:t>
      </w:r>
      <w:proofErr w:type="gramEnd"/>
      <w:r w:rsidRPr="00764EF9">
        <w:rPr>
          <w:rFonts w:ascii="Arial" w:hAnsi="Arial" w:cs="Arial"/>
          <w:color w:val="231F20"/>
          <w:sz w:val="24"/>
          <w:szCs w:val="24"/>
        </w:rPr>
        <w:t xml:space="preserve"> sub-section (</w:t>
      </w:r>
      <w:r w:rsidRPr="00764EF9">
        <w:rPr>
          <w:rFonts w:ascii="Arial" w:hAnsi="Arial" w:cs="Arial"/>
          <w:i/>
          <w:iCs/>
          <w:color w:val="231F20"/>
          <w:sz w:val="24"/>
          <w:szCs w:val="24"/>
        </w:rPr>
        <w:t>2</w:t>
      </w:r>
      <w:r w:rsidRPr="00764EF9">
        <w:rPr>
          <w:rFonts w:ascii="Arial" w:hAnsi="Arial" w:cs="Arial"/>
          <w:color w:val="231F20"/>
          <w:sz w:val="24"/>
          <w:szCs w:val="24"/>
        </w:rPr>
        <w:t>), the following sub-section shall be substituted, namely:––</w:t>
      </w:r>
    </w:p>
    <w:p w:rsidR="00764EF9" w:rsidRPr="00764EF9" w:rsidRDefault="00764EF9" w:rsidP="00764EF9">
      <w:pPr>
        <w:autoSpaceDE w:val="0"/>
        <w:autoSpaceDN w:val="0"/>
        <w:adjustRightInd w:val="0"/>
        <w:spacing w:after="0" w:line="240" w:lineRule="auto"/>
        <w:jc w:val="both"/>
        <w:rPr>
          <w:rFonts w:ascii="Arial" w:hAnsi="Arial" w:cs="Arial"/>
          <w:color w:val="231F20"/>
          <w:sz w:val="24"/>
          <w:szCs w:val="24"/>
        </w:rPr>
      </w:pPr>
      <w:r w:rsidRPr="00764EF9">
        <w:rPr>
          <w:rFonts w:ascii="Arial" w:hAnsi="Arial" w:cs="Arial"/>
          <w:color w:val="231F20"/>
          <w:sz w:val="24"/>
          <w:szCs w:val="24"/>
        </w:rPr>
        <w:t>“(</w:t>
      </w:r>
      <w:r w:rsidRPr="00764EF9">
        <w:rPr>
          <w:rFonts w:ascii="Arial" w:hAnsi="Arial" w:cs="Arial"/>
          <w:i/>
          <w:iCs/>
          <w:color w:val="231F20"/>
          <w:sz w:val="24"/>
          <w:szCs w:val="24"/>
        </w:rPr>
        <w:t>2</w:t>
      </w:r>
      <w:r w:rsidRPr="00764EF9">
        <w:rPr>
          <w:rFonts w:ascii="Arial" w:hAnsi="Arial" w:cs="Arial"/>
          <w:color w:val="231F20"/>
          <w:sz w:val="24"/>
          <w:szCs w:val="24"/>
        </w:rPr>
        <w:t>) For the purpose of sub-section (</w:t>
      </w:r>
      <w:r w:rsidRPr="00764EF9">
        <w:rPr>
          <w:rFonts w:ascii="Arial" w:hAnsi="Arial" w:cs="Arial"/>
          <w:i/>
          <w:iCs/>
          <w:color w:val="231F20"/>
          <w:sz w:val="24"/>
          <w:szCs w:val="24"/>
        </w:rPr>
        <w:t>1</w:t>
      </w:r>
      <w:r w:rsidRPr="00764EF9">
        <w:rPr>
          <w:rFonts w:ascii="Arial" w:hAnsi="Arial" w:cs="Arial"/>
          <w:color w:val="231F20"/>
          <w:sz w:val="24"/>
          <w:szCs w:val="24"/>
        </w:rPr>
        <w:t>), the profits and gains from each goods carriage shall be</w:t>
      </w:r>
      <w:r>
        <w:rPr>
          <w:rFonts w:ascii="Arial" w:hAnsi="Arial" w:cs="Arial"/>
          <w:color w:val="231F20"/>
          <w:sz w:val="24"/>
          <w:szCs w:val="24"/>
        </w:rPr>
        <w:t xml:space="preserve"> </w:t>
      </w:r>
      <w:r w:rsidRPr="00764EF9">
        <w:rPr>
          <w:rFonts w:ascii="Arial" w:hAnsi="Arial" w:cs="Arial"/>
          <w:color w:val="231F20"/>
          <w:sz w:val="24"/>
          <w:szCs w:val="24"/>
        </w:rPr>
        <w:t xml:space="preserve">an amount equal to </w:t>
      </w:r>
      <w:r w:rsidRPr="00764EF9">
        <w:rPr>
          <w:rFonts w:ascii="Arial" w:hAnsi="Arial" w:cs="Arial"/>
          <w:b/>
          <w:color w:val="231F20"/>
          <w:sz w:val="24"/>
          <w:szCs w:val="24"/>
        </w:rPr>
        <w:t>seven thousand five hundred rupees for every month or part of a month</w:t>
      </w:r>
      <w:r>
        <w:rPr>
          <w:rFonts w:ascii="Arial" w:hAnsi="Arial" w:cs="Arial"/>
          <w:color w:val="231F20"/>
          <w:sz w:val="24"/>
          <w:szCs w:val="24"/>
        </w:rPr>
        <w:t xml:space="preserve"> </w:t>
      </w:r>
      <w:r w:rsidRPr="00764EF9">
        <w:rPr>
          <w:rFonts w:ascii="Arial" w:hAnsi="Arial" w:cs="Arial"/>
          <w:color w:val="231F20"/>
          <w:sz w:val="24"/>
          <w:szCs w:val="24"/>
        </w:rPr>
        <w:t xml:space="preserve">during which the goods carriage is owned by the </w:t>
      </w:r>
      <w:proofErr w:type="spellStart"/>
      <w:r w:rsidRPr="00764EF9">
        <w:rPr>
          <w:rFonts w:ascii="Arial" w:hAnsi="Arial" w:cs="Arial"/>
          <w:color w:val="231F20"/>
          <w:sz w:val="24"/>
          <w:szCs w:val="24"/>
        </w:rPr>
        <w:t>assessee</w:t>
      </w:r>
      <w:proofErr w:type="spellEnd"/>
      <w:r w:rsidRPr="00764EF9">
        <w:rPr>
          <w:rFonts w:ascii="Arial" w:hAnsi="Arial" w:cs="Arial"/>
          <w:color w:val="231F20"/>
          <w:sz w:val="24"/>
          <w:szCs w:val="24"/>
        </w:rPr>
        <w:t xml:space="preserve"> in the previous year </w:t>
      </w:r>
      <w:r w:rsidRPr="00764EF9">
        <w:rPr>
          <w:rFonts w:ascii="Arial" w:hAnsi="Arial" w:cs="Arial"/>
          <w:b/>
          <w:color w:val="231F20"/>
          <w:sz w:val="24"/>
          <w:szCs w:val="24"/>
        </w:rPr>
        <w:t>or</w:t>
      </w:r>
      <w:r w:rsidRPr="00764EF9">
        <w:rPr>
          <w:rFonts w:ascii="Arial" w:hAnsi="Arial" w:cs="Arial"/>
          <w:color w:val="231F20"/>
          <w:sz w:val="24"/>
          <w:szCs w:val="24"/>
        </w:rPr>
        <w:t xml:space="preserve"> an amount</w:t>
      </w:r>
      <w:r>
        <w:rPr>
          <w:rFonts w:ascii="Arial" w:hAnsi="Arial" w:cs="Arial"/>
          <w:color w:val="231F20"/>
          <w:sz w:val="24"/>
          <w:szCs w:val="24"/>
        </w:rPr>
        <w:t xml:space="preserve"> </w:t>
      </w:r>
      <w:r w:rsidRPr="00764EF9">
        <w:rPr>
          <w:rFonts w:ascii="Arial" w:hAnsi="Arial" w:cs="Arial"/>
          <w:color w:val="231F20"/>
          <w:sz w:val="24"/>
          <w:szCs w:val="24"/>
        </w:rPr>
        <w:t xml:space="preserve">claimed to have been </w:t>
      </w:r>
      <w:r w:rsidRPr="00764EF9">
        <w:rPr>
          <w:rFonts w:ascii="Arial" w:hAnsi="Arial" w:cs="Arial"/>
          <w:b/>
          <w:color w:val="231F20"/>
          <w:sz w:val="24"/>
          <w:szCs w:val="24"/>
        </w:rPr>
        <w:t>actually earned</w:t>
      </w:r>
      <w:r w:rsidRPr="00764EF9">
        <w:rPr>
          <w:rFonts w:ascii="Arial" w:hAnsi="Arial" w:cs="Arial"/>
          <w:color w:val="231F20"/>
          <w:sz w:val="24"/>
          <w:szCs w:val="24"/>
        </w:rPr>
        <w:t xml:space="preserve"> from the vehicle, </w:t>
      </w:r>
      <w:r w:rsidRPr="00764EF9">
        <w:rPr>
          <w:rFonts w:ascii="Arial" w:hAnsi="Arial" w:cs="Arial"/>
          <w:b/>
          <w:color w:val="231F20"/>
          <w:sz w:val="24"/>
          <w:szCs w:val="24"/>
        </w:rPr>
        <w:t>whichever is higher.</w:t>
      </w:r>
      <w:r w:rsidRPr="00764EF9">
        <w:rPr>
          <w:rFonts w:ascii="Arial" w:hAnsi="Arial" w:cs="Arial"/>
          <w:color w:val="231F20"/>
          <w:sz w:val="24"/>
          <w:szCs w:val="24"/>
        </w:rPr>
        <w:t>”;</w:t>
      </w:r>
    </w:p>
    <w:p w:rsidR="00764EF9" w:rsidRDefault="00764EF9" w:rsidP="00764EF9">
      <w:pPr>
        <w:autoSpaceDE w:val="0"/>
        <w:autoSpaceDN w:val="0"/>
        <w:adjustRightInd w:val="0"/>
        <w:spacing w:after="0" w:line="240" w:lineRule="auto"/>
        <w:jc w:val="both"/>
        <w:rPr>
          <w:rFonts w:ascii="Arial" w:hAnsi="Arial" w:cs="Arial"/>
          <w:color w:val="231F20"/>
          <w:sz w:val="24"/>
          <w:szCs w:val="24"/>
        </w:rPr>
      </w:pPr>
    </w:p>
    <w:p w:rsidR="00764EF9" w:rsidRPr="00764EF9" w:rsidRDefault="00764EF9" w:rsidP="00764EF9">
      <w:pPr>
        <w:autoSpaceDE w:val="0"/>
        <w:autoSpaceDN w:val="0"/>
        <w:adjustRightInd w:val="0"/>
        <w:spacing w:after="0" w:line="240" w:lineRule="auto"/>
        <w:jc w:val="both"/>
        <w:rPr>
          <w:rFonts w:ascii="Arial" w:hAnsi="Arial" w:cs="Arial"/>
          <w:color w:val="231F20"/>
          <w:sz w:val="24"/>
          <w:szCs w:val="24"/>
        </w:rPr>
      </w:pPr>
      <w:r w:rsidRPr="00764EF9">
        <w:rPr>
          <w:rFonts w:ascii="Arial" w:hAnsi="Arial" w:cs="Arial"/>
          <w:color w:val="231F20"/>
          <w:sz w:val="24"/>
          <w:szCs w:val="24"/>
        </w:rPr>
        <w:t>(</w:t>
      </w:r>
      <w:r w:rsidRPr="00764EF9">
        <w:rPr>
          <w:rFonts w:ascii="Arial" w:hAnsi="Arial" w:cs="Arial"/>
          <w:i/>
          <w:iCs/>
          <w:color w:val="231F20"/>
          <w:sz w:val="24"/>
          <w:szCs w:val="24"/>
        </w:rPr>
        <w:t>ii</w:t>
      </w:r>
      <w:r w:rsidRPr="00764EF9">
        <w:rPr>
          <w:rFonts w:ascii="Arial" w:hAnsi="Arial" w:cs="Arial"/>
          <w:color w:val="231F20"/>
          <w:sz w:val="24"/>
          <w:szCs w:val="24"/>
        </w:rPr>
        <w:t xml:space="preserve">) </w:t>
      </w:r>
      <w:proofErr w:type="gramStart"/>
      <w:r w:rsidRPr="00764EF9">
        <w:rPr>
          <w:rFonts w:ascii="Arial" w:hAnsi="Arial" w:cs="Arial"/>
          <w:color w:val="231F20"/>
          <w:sz w:val="24"/>
          <w:szCs w:val="24"/>
        </w:rPr>
        <w:t>in</w:t>
      </w:r>
      <w:proofErr w:type="gramEnd"/>
      <w:r w:rsidRPr="00764EF9">
        <w:rPr>
          <w:rFonts w:ascii="Arial" w:hAnsi="Arial" w:cs="Arial"/>
          <w:color w:val="231F20"/>
          <w:sz w:val="24"/>
          <w:szCs w:val="24"/>
        </w:rPr>
        <w:t xml:space="preserve"> the </w:t>
      </w:r>
      <w:r w:rsidRPr="00764EF9">
        <w:rPr>
          <w:rFonts w:ascii="Arial" w:hAnsi="Arial" w:cs="Arial"/>
          <w:i/>
          <w:iCs/>
          <w:color w:val="231F20"/>
          <w:sz w:val="24"/>
          <w:szCs w:val="24"/>
        </w:rPr>
        <w:t>Explanation</w:t>
      </w:r>
      <w:r w:rsidRPr="00764EF9">
        <w:rPr>
          <w:rFonts w:ascii="Arial" w:hAnsi="Arial" w:cs="Arial"/>
          <w:color w:val="231F20"/>
          <w:sz w:val="24"/>
          <w:szCs w:val="24"/>
        </w:rPr>
        <w:t>, for clause (</w:t>
      </w:r>
      <w:r w:rsidRPr="00764EF9">
        <w:rPr>
          <w:rFonts w:ascii="Arial" w:hAnsi="Arial" w:cs="Arial"/>
          <w:i/>
          <w:iCs/>
          <w:color w:val="231F20"/>
          <w:sz w:val="24"/>
          <w:szCs w:val="24"/>
        </w:rPr>
        <w:t>a</w:t>
      </w:r>
      <w:r w:rsidRPr="00764EF9">
        <w:rPr>
          <w:rFonts w:ascii="Arial" w:hAnsi="Arial" w:cs="Arial"/>
          <w:color w:val="231F20"/>
          <w:sz w:val="24"/>
          <w:szCs w:val="24"/>
        </w:rPr>
        <w:t>), the following clause shall be substituted, namely:––</w:t>
      </w:r>
    </w:p>
    <w:p w:rsidR="00764EF9" w:rsidRPr="00764EF9" w:rsidRDefault="00764EF9" w:rsidP="00764EF9">
      <w:pPr>
        <w:autoSpaceDE w:val="0"/>
        <w:autoSpaceDN w:val="0"/>
        <w:adjustRightInd w:val="0"/>
        <w:spacing w:after="0" w:line="240" w:lineRule="auto"/>
        <w:jc w:val="both"/>
        <w:rPr>
          <w:rFonts w:ascii="Arial" w:hAnsi="Arial" w:cs="Arial"/>
          <w:color w:val="231F20"/>
          <w:sz w:val="24"/>
          <w:szCs w:val="24"/>
        </w:rPr>
      </w:pPr>
      <w:r w:rsidRPr="00764EF9">
        <w:rPr>
          <w:rFonts w:ascii="Arial" w:hAnsi="Arial" w:cs="Arial"/>
          <w:color w:val="231F20"/>
          <w:sz w:val="24"/>
          <w:szCs w:val="24"/>
        </w:rPr>
        <w:t>‘(</w:t>
      </w:r>
      <w:r w:rsidRPr="00764EF9">
        <w:rPr>
          <w:rFonts w:ascii="Arial" w:hAnsi="Arial" w:cs="Arial"/>
          <w:i/>
          <w:iCs/>
          <w:color w:val="231F20"/>
          <w:sz w:val="24"/>
          <w:szCs w:val="24"/>
        </w:rPr>
        <w:t>a</w:t>
      </w:r>
      <w:r w:rsidRPr="00764EF9">
        <w:rPr>
          <w:rFonts w:ascii="Arial" w:hAnsi="Arial" w:cs="Arial"/>
          <w:color w:val="231F20"/>
          <w:sz w:val="24"/>
          <w:szCs w:val="24"/>
        </w:rPr>
        <w:t>) the expression “goods carriage” shall have the meaning assigned to it in section 2 of the</w:t>
      </w:r>
    </w:p>
    <w:p w:rsidR="005015BD" w:rsidRDefault="00764EF9" w:rsidP="00764EF9">
      <w:pPr>
        <w:jc w:val="both"/>
        <w:rPr>
          <w:rFonts w:ascii="Arial" w:hAnsi="Arial" w:cs="Arial"/>
          <w:color w:val="231F20"/>
          <w:sz w:val="24"/>
          <w:szCs w:val="24"/>
        </w:rPr>
      </w:pPr>
      <w:r w:rsidRPr="00764EF9">
        <w:rPr>
          <w:rFonts w:ascii="Arial" w:hAnsi="Arial" w:cs="Arial"/>
          <w:color w:val="231F20"/>
          <w:sz w:val="24"/>
          <w:szCs w:val="24"/>
        </w:rPr>
        <w:t>Motor Vehicles Act, 1988;</w:t>
      </w:r>
      <w:proofErr w:type="gramStart"/>
      <w:r w:rsidRPr="00764EF9">
        <w:rPr>
          <w:rFonts w:ascii="Arial" w:hAnsi="Arial" w:cs="Arial"/>
          <w:color w:val="231F20"/>
          <w:sz w:val="24"/>
          <w:szCs w:val="24"/>
        </w:rPr>
        <w:t>’.</w:t>
      </w:r>
      <w:proofErr w:type="gramEnd"/>
    </w:p>
    <w:p w:rsidR="001C2C4C" w:rsidRDefault="001C2C4C" w:rsidP="00764EF9">
      <w:pPr>
        <w:jc w:val="both"/>
        <w:rPr>
          <w:rFonts w:ascii="Arial" w:hAnsi="Arial" w:cs="Arial"/>
          <w:color w:val="231F20"/>
          <w:sz w:val="24"/>
          <w:szCs w:val="24"/>
        </w:rPr>
      </w:pPr>
    </w:p>
    <w:p w:rsidR="001C2C4C" w:rsidRDefault="001C2C4C" w:rsidP="001C2C4C">
      <w:pPr>
        <w:pStyle w:val="NormalWeb"/>
        <w:pBdr>
          <w:top w:val="single" w:sz="4" w:space="1" w:color="auto"/>
          <w:bottom w:val="single" w:sz="4" w:space="1" w:color="auto"/>
        </w:pBdr>
        <w:jc w:val="center"/>
      </w:pPr>
      <w:r>
        <w:rPr>
          <w:rStyle w:val="Strong"/>
        </w:rPr>
        <w:t>Business of Plying, Hiring or Leasing Goods Carriages</w:t>
      </w:r>
    </w:p>
    <w:p w:rsidR="001C2C4C" w:rsidRPr="001C2C4C" w:rsidRDefault="001C2C4C" w:rsidP="001C2C4C">
      <w:pPr>
        <w:spacing w:before="100" w:beforeAutospacing="1" w:after="100" w:afterAutospacing="1" w:line="240" w:lineRule="auto"/>
        <w:jc w:val="both"/>
        <w:rPr>
          <w:rFonts w:ascii="Arial" w:eastAsia="Times New Roman" w:hAnsi="Arial" w:cs="Arial"/>
          <w:sz w:val="24"/>
          <w:szCs w:val="24"/>
        </w:rPr>
      </w:pPr>
      <w:r w:rsidRPr="001C2C4C">
        <w:rPr>
          <w:rFonts w:ascii="Arial" w:eastAsia="Times New Roman" w:hAnsi="Arial" w:cs="Arial"/>
          <w:sz w:val="24"/>
          <w:szCs w:val="24"/>
        </w:rPr>
        <w:t xml:space="preserve">The existing provisions of section 44AE of the Act provides for presumptive taxation in the case of an </w:t>
      </w:r>
      <w:proofErr w:type="spellStart"/>
      <w:r w:rsidRPr="001C2C4C">
        <w:rPr>
          <w:rFonts w:ascii="Arial" w:eastAsia="Times New Roman" w:hAnsi="Arial" w:cs="Arial"/>
          <w:sz w:val="24"/>
          <w:szCs w:val="24"/>
        </w:rPr>
        <w:t>assessee</w:t>
      </w:r>
      <w:proofErr w:type="spellEnd"/>
      <w:r w:rsidRPr="001C2C4C">
        <w:rPr>
          <w:rFonts w:ascii="Arial" w:eastAsia="Times New Roman" w:hAnsi="Arial" w:cs="Arial"/>
          <w:sz w:val="24"/>
          <w:szCs w:val="24"/>
        </w:rPr>
        <w:t xml:space="preserve"> who is engaged in the business of plying, hiring or leasing goods carriages and not owning more than ten goods carriages at any time during the previous year. Income from the said business is calculated as under:</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175"/>
        <w:gridCol w:w="7215"/>
      </w:tblGrid>
      <w:tr w:rsidR="001C2C4C" w:rsidRPr="001C2C4C" w:rsidTr="001C2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C2C4C" w:rsidRPr="001C2C4C" w:rsidRDefault="001C2C4C" w:rsidP="001C2C4C">
            <w:pPr>
              <w:spacing w:before="100" w:beforeAutospacing="1" w:after="100" w:afterAutospacing="1" w:line="240" w:lineRule="auto"/>
              <w:jc w:val="both"/>
              <w:rPr>
                <w:rFonts w:ascii="Arial" w:eastAsia="Times New Roman" w:hAnsi="Arial" w:cs="Arial"/>
                <w:sz w:val="24"/>
                <w:szCs w:val="24"/>
              </w:rPr>
            </w:pPr>
            <w:r w:rsidRPr="001C2C4C">
              <w:rPr>
                <w:rFonts w:ascii="Arial" w:eastAsia="Times New Roman" w:hAnsi="Arial" w:cs="Arial"/>
                <w:b/>
                <w:bCs/>
                <w:sz w:val="24"/>
                <w:szCs w:val="24"/>
              </w:rPr>
              <w:t>Type of Goods carriage</w:t>
            </w:r>
          </w:p>
        </w:tc>
        <w:tc>
          <w:tcPr>
            <w:tcW w:w="0" w:type="auto"/>
            <w:tcBorders>
              <w:top w:val="outset" w:sz="6" w:space="0" w:color="auto"/>
              <w:left w:val="outset" w:sz="6" w:space="0" w:color="auto"/>
              <w:bottom w:val="outset" w:sz="6" w:space="0" w:color="auto"/>
              <w:right w:val="outset" w:sz="6" w:space="0" w:color="auto"/>
            </w:tcBorders>
            <w:vAlign w:val="center"/>
            <w:hideMark/>
          </w:tcPr>
          <w:p w:rsidR="001C2C4C" w:rsidRPr="001C2C4C" w:rsidRDefault="001C2C4C" w:rsidP="001C2C4C">
            <w:pPr>
              <w:spacing w:before="100" w:beforeAutospacing="1" w:after="100" w:afterAutospacing="1" w:line="240" w:lineRule="auto"/>
              <w:jc w:val="both"/>
              <w:rPr>
                <w:rFonts w:ascii="Arial" w:eastAsia="Times New Roman" w:hAnsi="Arial" w:cs="Arial"/>
                <w:sz w:val="24"/>
                <w:szCs w:val="24"/>
              </w:rPr>
            </w:pPr>
            <w:r w:rsidRPr="001C2C4C">
              <w:rPr>
                <w:rFonts w:ascii="Arial" w:eastAsia="Times New Roman" w:hAnsi="Arial" w:cs="Arial"/>
                <w:b/>
                <w:bCs/>
                <w:sz w:val="24"/>
                <w:szCs w:val="24"/>
              </w:rPr>
              <w:t>Amount of presumptive income</w:t>
            </w:r>
          </w:p>
        </w:tc>
      </w:tr>
      <w:tr w:rsidR="001C2C4C" w:rsidRPr="001C2C4C" w:rsidTr="001C2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C2C4C" w:rsidRPr="001C2C4C" w:rsidRDefault="001C2C4C" w:rsidP="001C2C4C">
            <w:pPr>
              <w:spacing w:before="100" w:beforeAutospacing="1" w:after="100" w:afterAutospacing="1" w:line="240" w:lineRule="auto"/>
              <w:jc w:val="both"/>
              <w:rPr>
                <w:rFonts w:ascii="Arial" w:eastAsia="Times New Roman" w:hAnsi="Arial" w:cs="Arial"/>
                <w:sz w:val="24"/>
                <w:szCs w:val="24"/>
              </w:rPr>
            </w:pPr>
            <w:r w:rsidRPr="001C2C4C">
              <w:rPr>
                <w:rFonts w:ascii="Arial" w:eastAsia="Times New Roman" w:hAnsi="Arial" w:cs="Arial"/>
                <w:sz w:val="24"/>
                <w:szCs w:val="24"/>
              </w:rPr>
              <w:t>Heavy goods vehicle (HGV)</w:t>
            </w:r>
          </w:p>
        </w:tc>
        <w:tc>
          <w:tcPr>
            <w:tcW w:w="0" w:type="auto"/>
            <w:tcBorders>
              <w:top w:val="outset" w:sz="6" w:space="0" w:color="auto"/>
              <w:left w:val="outset" w:sz="6" w:space="0" w:color="auto"/>
              <w:bottom w:val="outset" w:sz="6" w:space="0" w:color="auto"/>
              <w:right w:val="outset" w:sz="6" w:space="0" w:color="auto"/>
            </w:tcBorders>
            <w:vAlign w:val="center"/>
            <w:hideMark/>
          </w:tcPr>
          <w:p w:rsidR="001C2C4C" w:rsidRPr="001C2C4C" w:rsidRDefault="001C2C4C" w:rsidP="001C2C4C">
            <w:pPr>
              <w:spacing w:before="100" w:beforeAutospacing="1" w:after="100" w:afterAutospacing="1" w:line="240" w:lineRule="auto"/>
              <w:jc w:val="both"/>
              <w:rPr>
                <w:rFonts w:ascii="Arial" w:eastAsia="Times New Roman" w:hAnsi="Arial" w:cs="Arial"/>
                <w:sz w:val="24"/>
                <w:szCs w:val="24"/>
              </w:rPr>
            </w:pPr>
            <w:r w:rsidRPr="001C2C4C">
              <w:rPr>
                <w:rFonts w:ascii="Arial" w:eastAsia="Times New Roman" w:hAnsi="Arial" w:cs="Arial"/>
                <w:sz w:val="24"/>
                <w:szCs w:val="24"/>
              </w:rPr>
              <w:t>Rs.5</w:t>
            </w:r>
            <w:proofErr w:type="gramStart"/>
            <w:r w:rsidRPr="001C2C4C">
              <w:rPr>
                <w:rFonts w:ascii="Arial" w:eastAsia="Times New Roman" w:hAnsi="Arial" w:cs="Arial"/>
                <w:sz w:val="24"/>
                <w:szCs w:val="24"/>
              </w:rPr>
              <w:t>,000</w:t>
            </w:r>
            <w:proofErr w:type="gramEnd"/>
            <w:r w:rsidRPr="001C2C4C">
              <w:rPr>
                <w:rFonts w:ascii="Arial" w:eastAsia="Times New Roman" w:hAnsi="Arial" w:cs="Arial"/>
                <w:sz w:val="24"/>
                <w:szCs w:val="24"/>
              </w:rPr>
              <w:t xml:space="preserve"> for every month (or part of a month) during which the goods carriage is owned by the taxpayer.</w:t>
            </w:r>
          </w:p>
        </w:tc>
      </w:tr>
      <w:tr w:rsidR="001C2C4C" w:rsidRPr="001C2C4C" w:rsidTr="001C2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C2C4C" w:rsidRPr="001C2C4C" w:rsidRDefault="001C2C4C" w:rsidP="001C2C4C">
            <w:pPr>
              <w:spacing w:before="100" w:beforeAutospacing="1" w:after="100" w:afterAutospacing="1" w:line="240" w:lineRule="auto"/>
              <w:jc w:val="both"/>
              <w:rPr>
                <w:rFonts w:ascii="Arial" w:eastAsia="Times New Roman" w:hAnsi="Arial" w:cs="Arial"/>
                <w:sz w:val="24"/>
                <w:szCs w:val="24"/>
              </w:rPr>
            </w:pPr>
            <w:r w:rsidRPr="001C2C4C">
              <w:rPr>
                <w:rFonts w:ascii="Arial" w:eastAsia="Times New Roman" w:hAnsi="Arial" w:cs="Arial"/>
                <w:sz w:val="24"/>
                <w:szCs w:val="24"/>
              </w:rPr>
              <w:t>Vehicle other than HGV</w:t>
            </w:r>
          </w:p>
        </w:tc>
        <w:tc>
          <w:tcPr>
            <w:tcW w:w="0" w:type="auto"/>
            <w:tcBorders>
              <w:top w:val="outset" w:sz="6" w:space="0" w:color="auto"/>
              <w:left w:val="outset" w:sz="6" w:space="0" w:color="auto"/>
              <w:bottom w:val="outset" w:sz="6" w:space="0" w:color="auto"/>
              <w:right w:val="outset" w:sz="6" w:space="0" w:color="auto"/>
            </w:tcBorders>
            <w:vAlign w:val="center"/>
            <w:hideMark/>
          </w:tcPr>
          <w:p w:rsidR="001C2C4C" w:rsidRPr="001C2C4C" w:rsidRDefault="001C2C4C" w:rsidP="001C2C4C">
            <w:pPr>
              <w:spacing w:before="100" w:beforeAutospacing="1" w:after="100" w:afterAutospacing="1" w:line="240" w:lineRule="auto"/>
              <w:jc w:val="both"/>
              <w:rPr>
                <w:rFonts w:ascii="Arial" w:eastAsia="Times New Roman" w:hAnsi="Arial" w:cs="Arial"/>
                <w:sz w:val="24"/>
                <w:szCs w:val="24"/>
              </w:rPr>
            </w:pPr>
            <w:r w:rsidRPr="001C2C4C">
              <w:rPr>
                <w:rFonts w:ascii="Times New Roman" w:eastAsia="Times New Roman" w:hAnsi="Times New Roman" w:cs="Arial"/>
                <w:sz w:val="24"/>
                <w:szCs w:val="24"/>
              </w:rPr>
              <w:t>₹</w:t>
            </w:r>
            <w:r w:rsidRPr="001C2C4C">
              <w:rPr>
                <w:rFonts w:ascii="Arial" w:eastAsia="Times New Roman" w:hAnsi="Arial" w:cs="Arial"/>
                <w:sz w:val="24"/>
                <w:szCs w:val="24"/>
              </w:rPr>
              <w:t xml:space="preserve"> 4,500 for every month (or part of a month) during which the goods carriage is owned by the taxpayer.</w:t>
            </w:r>
          </w:p>
        </w:tc>
      </w:tr>
    </w:tbl>
    <w:p w:rsidR="001C2C4C" w:rsidRPr="001C2C4C" w:rsidRDefault="001C2C4C" w:rsidP="001C2C4C">
      <w:pPr>
        <w:spacing w:before="100" w:beforeAutospacing="1" w:after="100" w:afterAutospacing="1" w:line="240" w:lineRule="auto"/>
        <w:jc w:val="both"/>
        <w:rPr>
          <w:rFonts w:ascii="Arial" w:eastAsia="Times New Roman" w:hAnsi="Arial" w:cs="Arial"/>
          <w:sz w:val="24"/>
          <w:szCs w:val="24"/>
        </w:rPr>
      </w:pPr>
      <w:r w:rsidRPr="001C2C4C">
        <w:rPr>
          <w:rFonts w:ascii="Arial" w:eastAsia="Times New Roman" w:hAnsi="Arial" w:cs="Arial"/>
          <w:sz w:val="24"/>
          <w:szCs w:val="24"/>
        </w:rPr>
        <w:t>     The amount of presumptive income was revised by the Finance (No.2) Act, 2009. Further, the existing provisions make a distinction between HGV and vehicle other than HGV for specifying the amount of presumptive income.</w:t>
      </w:r>
    </w:p>
    <w:p w:rsidR="001C2C4C" w:rsidRPr="001C2C4C" w:rsidRDefault="001C2C4C" w:rsidP="001C2C4C">
      <w:pPr>
        <w:spacing w:before="100" w:beforeAutospacing="1" w:after="100" w:afterAutospacing="1" w:line="240" w:lineRule="auto"/>
        <w:jc w:val="both"/>
        <w:rPr>
          <w:rFonts w:ascii="Arial" w:eastAsia="Times New Roman" w:hAnsi="Arial" w:cs="Arial"/>
          <w:sz w:val="24"/>
          <w:szCs w:val="24"/>
        </w:rPr>
      </w:pPr>
      <w:r w:rsidRPr="001C2C4C">
        <w:rPr>
          <w:rFonts w:ascii="Arial" w:eastAsia="Times New Roman" w:hAnsi="Arial" w:cs="Arial"/>
          <w:sz w:val="24"/>
          <w:szCs w:val="24"/>
        </w:rPr>
        <w:t xml:space="preserve">     </w:t>
      </w:r>
      <w:r w:rsidRPr="004A3AAF">
        <w:rPr>
          <w:rFonts w:ascii="Arial" w:eastAsia="Times New Roman" w:hAnsi="Arial" w:cs="Arial"/>
          <w:b/>
          <w:sz w:val="24"/>
          <w:szCs w:val="24"/>
        </w:rPr>
        <w:t>Considering the erosion in the real values of the amount</w:t>
      </w:r>
      <w:r w:rsidRPr="001C2C4C">
        <w:rPr>
          <w:rFonts w:ascii="Arial" w:eastAsia="Times New Roman" w:hAnsi="Arial" w:cs="Arial"/>
          <w:sz w:val="24"/>
          <w:szCs w:val="24"/>
        </w:rPr>
        <w:t xml:space="preserve"> of specified presumptive income </w:t>
      </w:r>
      <w:r w:rsidRPr="004A3AAF">
        <w:rPr>
          <w:rFonts w:ascii="Arial" w:eastAsia="Times New Roman" w:hAnsi="Arial" w:cs="Arial"/>
          <w:b/>
          <w:sz w:val="24"/>
          <w:szCs w:val="24"/>
        </w:rPr>
        <w:t>due to inflation</w:t>
      </w:r>
      <w:r w:rsidRPr="001C2C4C">
        <w:rPr>
          <w:rFonts w:ascii="Arial" w:eastAsia="Times New Roman" w:hAnsi="Arial" w:cs="Arial"/>
          <w:sz w:val="24"/>
          <w:szCs w:val="24"/>
        </w:rPr>
        <w:t xml:space="preserve"> over the years and also </w:t>
      </w:r>
      <w:r w:rsidRPr="004A3AAF">
        <w:rPr>
          <w:rFonts w:ascii="Arial" w:eastAsia="Times New Roman" w:hAnsi="Arial" w:cs="Arial"/>
          <w:b/>
          <w:sz w:val="24"/>
          <w:szCs w:val="24"/>
        </w:rPr>
        <w:t>in order to simplify</w:t>
      </w:r>
      <w:r w:rsidRPr="001C2C4C">
        <w:rPr>
          <w:rFonts w:ascii="Arial" w:eastAsia="Times New Roman" w:hAnsi="Arial" w:cs="Arial"/>
          <w:sz w:val="24"/>
          <w:szCs w:val="24"/>
        </w:rPr>
        <w:t xml:space="preserve"> this presumptive taxation scheme, it is proposed to provide for a </w:t>
      </w:r>
      <w:r w:rsidRPr="004A3AAF">
        <w:rPr>
          <w:rFonts w:ascii="Arial" w:eastAsia="Times New Roman" w:hAnsi="Arial" w:cs="Arial"/>
          <w:b/>
          <w:sz w:val="24"/>
          <w:szCs w:val="24"/>
        </w:rPr>
        <w:t xml:space="preserve">uniform amount of presumptive income of </w:t>
      </w:r>
      <w:r w:rsidRPr="004A3AAF">
        <w:rPr>
          <w:rFonts w:ascii="Times New Roman" w:eastAsia="Times New Roman" w:hAnsi="Times New Roman" w:cs="Arial"/>
          <w:b/>
          <w:sz w:val="24"/>
          <w:szCs w:val="24"/>
        </w:rPr>
        <w:t>₹</w:t>
      </w:r>
      <w:r w:rsidRPr="004A3AAF">
        <w:rPr>
          <w:rFonts w:ascii="Arial" w:eastAsia="Times New Roman" w:hAnsi="Arial" w:cs="Arial"/>
          <w:b/>
          <w:sz w:val="24"/>
          <w:szCs w:val="24"/>
        </w:rPr>
        <w:t xml:space="preserve"> 7,500 for every month (or part of a month)</w:t>
      </w:r>
      <w:r w:rsidRPr="001C2C4C">
        <w:rPr>
          <w:rFonts w:ascii="Arial" w:eastAsia="Times New Roman" w:hAnsi="Arial" w:cs="Arial"/>
          <w:sz w:val="24"/>
          <w:szCs w:val="24"/>
        </w:rPr>
        <w:t xml:space="preserve"> for all types of goods carriage without any distinction between HGV and vehicle other than HGV.</w:t>
      </w:r>
    </w:p>
    <w:p w:rsidR="001C2C4C" w:rsidRDefault="001C2C4C" w:rsidP="001C2C4C">
      <w:pPr>
        <w:spacing w:before="100" w:beforeAutospacing="1" w:after="100" w:afterAutospacing="1" w:line="240" w:lineRule="auto"/>
        <w:jc w:val="both"/>
        <w:rPr>
          <w:rFonts w:ascii="Arial" w:eastAsia="Times New Roman" w:hAnsi="Arial" w:cs="Arial"/>
          <w:sz w:val="24"/>
          <w:szCs w:val="24"/>
        </w:rPr>
      </w:pPr>
      <w:r w:rsidRPr="001C2C4C">
        <w:rPr>
          <w:rFonts w:ascii="Arial" w:eastAsia="Times New Roman" w:hAnsi="Arial" w:cs="Arial"/>
          <w:sz w:val="24"/>
          <w:szCs w:val="24"/>
        </w:rPr>
        <w:t>     This amendment will take effect from 1st April, 2015 and will, accordingly, apply in relation to the assessment year 2015-16 and subsequent years.</w:t>
      </w:r>
    </w:p>
    <w:p w:rsidR="001C2C4C" w:rsidRPr="001C2C4C" w:rsidRDefault="001C2C4C" w:rsidP="001C2C4C">
      <w:pPr>
        <w:pBdr>
          <w:bottom w:val="single" w:sz="4" w:space="1" w:color="auto"/>
        </w:pBdr>
        <w:spacing w:before="100" w:beforeAutospacing="1" w:after="100" w:afterAutospacing="1" w:line="240" w:lineRule="auto"/>
        <w:jc w:val="both"/>
        <w:rPr>
          <w:rFonts w:ascii="Arial" w:eastAsia="Times New Roman" w:hAnsi="Arial" w:cs="Arial"/>
          <w:sz w:val="24"/>
          <w:szCs w:val="24"/>
        </w:rPr>
      </w:pPr>
    </w:p>
    <w:p w:rsidR="001C2C4C" w:rsidRPr="001C2C4C" w:rsidRDefault="001C2C4C" w:rsidP="001C2C4C"/>
    <w:sectPr w:rsidR="001C2C4C" w:rsidRPr="001C2C4C" w:rsidSect="005015B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compat/>
  <w:rsids>
    <w:rsidRoot w:val="00764EF9"/>
    <w:rsid w:val="001C2C4C"/>
    <w:rsid w:val="00221FD4"/>
    <w:rsid w:val="00493B9C"/>
    <w:rsid w:val="004A3AAF"/>
    <w:rsid w:val="005015BD"/>
    <w:rsid w:val="00764EF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5B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C2C4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C2C4C"/>
    <w:rPr>
      <w:b/>
      <w:bCs/>
    </w:rPr>
  </w:style>
</w:styles>
</file>

<file path=word/webSettings.xml><?xml version="1.0" encoding="utf-8"?>
<w:webSettings xmlns:r="http://schemas.openxmlformats.org/officeDocument/2006/relationships" xmlns:w="http://schemas.openxmlformats.org/wordprocessingml/2006/main">
  <w:divs>
    <w:div w:id="8535023">
      <w:bodyDiv w:val="1"/>
      <w:marLeft w:val="0"/>
      <w:marRight w:val="0"/>
      <w:marTop w:val="0"/>
      <w:marBottom w:val="0"/>
      <w:divBdr>
        <w:top w:val="none" w:sz="0" w:space="0" w:color="auto"/>
        <w:left w:val="none" w:sz="0" w:space="0" w:color="auto"/>
        <w:bottom w:val="none" w:sz="0" w:space="0" w:color="auto"/>
        <w:right w:val="none" w:sz="0" w:space="0" w:color="auto"/>
      </w:divBdr>
    </w:div>
    <w:div w:id="188259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330</Words>
  <Characters>1884</Characters>
  <Application>Microsoft Office Word</Application>
  <DocSecurity>0</DocSecurity>
  <Lines>15</Lines>
  <Paragraphs>4</Paragraphs>
  <ScaleCrop>false</ScaleCrop>
  <Company/>
  <LinksUpToDate>false</LinksUpToDate>
  <CharactersWithSpaces>2210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Kashish</dc:creator>
  <cp:lastModifiedBy>HP</cp:lastModifiedBy>
  <cp:revision>3</cp:revision>
  <dcterms:created xsi:type="dcterms:W3CDTF">2014-07-16T07:24:00Z</dcterms:created>
  <dcterms:modified xsi:type="dcterms:W3CDTF">2014-07-17T06:49:00Z</dcterms:modified>
</cp:coreProperties>
</file>